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11D9A3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DC7D6A" w:rsidRPr="00DC7D6A">
        <w:rPr>
          <w:rFonts w:ascii="Verdana" w:hAnsi="Verdana"/>
          <w:sz w:val="18"/>
          <w:szCs w:val="18"/>
        </w:rPr>
        <w:t>Ekologická likvidace dřevěných pražců v obvodu OŘ UNL 2025 – 2026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24CCF89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C7D6A" w:rsidRPr="00DC7D6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5867424">
    <w:abstractNumId w:val="5"/>
  </w:num>
  <w:num w:numId="2" w16cid:durableId="1136534010">
    <w:abstractNumId w:val="1"/>
  </w:num>
  <w:num w:numId="3" w16cid:durableId="663893390">
    <w:abstractNumId w:val="2"/>
  </w:num>
  <w:num w:numId="4" w16cid:durableId="2061703682">
    <w:abstractNumId w:val="4"/>
  </w:num>
  <w:num w:numId="5" w16cid:durableId="1917324432">
    <w:abstractNumId w:val="0"/>
  </w:num>
  <w:num w:numId="6" w16cid:durableId="120653702">
    <w:abstractNumId w:val="6"/>
  </w:num>
  <w:num w:numId="7" w16cid:durableId="18874032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45E9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C7A8E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D6A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345E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2025-02-04T08:22:00Z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